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CC0C8B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HYPERLINK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"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mailto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: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Belov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Elb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@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tatar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ru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F10BB2" w:rsidRPr="00CC0C8B" w:rsidRDefault="002C1780" w:rsidP="00CC0C8B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CC0C8B">
        <w:rPr>
          <w:sz w:val="28"/>
          <w:szCs w:val="28"/>
        </w:rPr>
        <w:t>16</w:t>
      </w:r>
      <w:r w:rsidRPr="00D46480">
        <w:rPr>
          <w:sz w:val="28"/>
          <w:szCs w:val="28"/>
        </w:rPr>
        <w:t xml:space="preserve">» </w:t>
      </w:r>
      <w:r w:rsidR="00CC0C8B">
        <w:rPr>
          <w:sz w:val="28"/>
          <w:szCs w:val="28"/>
        </w:rPr>
        <w:t>декабря</w:t>
      </w:r>
      <w:r w:rsidR="00EF39FB">
        <w:rPr>
          <w:sz w:val="28"/>
          <w:szCs w:val="28"/>
        </w:rPr>
        <w:t xml:space="preserve"> </w:t>
      </w:r>
      <w:r w:rsidRPr="00D46480">
        <w:rPr>
          <w:sz w:val="28"/>
          <w:szCs w:val="28"/>
        </w:rPr>
        <w:t>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</w:t>
      </w:r>
      <w:r w:rsidR="00CC0C8B">
        <w:rPr>
          <w:sz w:val="28"/>
          <w:szCs w:val="28"/>
        </w:rPr>
        <w:t>4</w:t>
      </w:r>
      <w:r w:rsidR="00A7202E" w:rsidRPr="00D46480">
        <w:rPr>
          <w:sz w:val="28"/>
          <w:szCs w:val="28"/>
        </w:rPr>
        <w:br/>
        <w:t> </w:t>
      </w:r>
    </w:p>
    <w:p w:rsidR="00DC1227" w:rsidRPr="00DC1227" w:rsidRDefault="00DC1227" w:rsidP="00DC12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</w:rPr>
        <w:t>О бюджете Большееловского</w:t>
      </w: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сельского поселения</w:t>
      </w:r>
      <w:r w:rsidRPr="00DC122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C1227" w:rsidRPr="00DC1227" w:rsidRDefault="00DC1227" w:rsidP="00DC12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</w:rPr>
        <w:t xml:space="preserve">Елабужского муниципального района Республики Татарстан </w:t>
      </w:r>
    </w:p>
    <w:p w:rsidR="00DC1227" w:rsidRPr="00DC1227" w:rsidRDefault="00DC1227" w:rsidP="00DC12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</w:rPr>
        <w:t>на 2023 год и на плановый период 2024 и 2025 годов</w:t>
      </w:r>
    </w:p>
    <w:p w:rsidR="00DC1227" w:rsidRPr="00DC1227" w:rsidRDefault="00DC1227" w:rsidP="00DC12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1227" w:rsidRPr="00DC1227" w:rsidRDefault="00DC1227" w:rsidP="00DC12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В соответствии с Уставом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Большееловского сельского поселения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Положением «О бюджетном процессе в Большееловско</w:t>
      </w:r>
      <w:r w:rsidRPr="00DC1227">
        <w:rPr>
          <w:rFonts w:ascii="Times New Roman" w:eastAsia="Times New Roman" w:hAnsi="Times New Roman"/>
          <w:sz w:val="28"/>
          <w:szCs w:val="28"/>
        </w:rPr>
        <w:t>м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сельском поселении», Совет Большееловского сельского поселения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DC1227" w:rsidRPr="00DC1227" w:rsidRDefault="00DC1227" w:rsidP="00DC12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DC1227" w:rsidRPr="00DC1227" w:rsidRDefault="00DC1227" w:rsidP="00DC122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1 </w:t>
      </w:r>
    </w:p>
    <w:p w:rsidR="00DC1227" w:rsidRPr="00DC1227" w:rsidRDefault="00DC1227" w:rsidP="00DC1227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Утвердить основные характеристики бюджета Большееловского сельского поселения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 (далее - бюджет Поселения)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год:</w:t>
      </w:r>
    </w:p>
    <w:p w:rsidR="00DC1227" w:rsidRPr="00DC1227" w:rsidRDefault="00DC1227" w:rsidP="00DC1227">
      <w:pPr>
        <w:numPr>
          <w:ilvl w:val="0"/>
          <w:numId w:val="28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прогнозируемый общий объем доходов бюджета Поселения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1 713,9  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рублей;</w:t>
      </w:r>
    </w:p>
    <w:p w:rsidR="00DC1227" w:rsidRPr="00DC1227" w:rsidRDefault="00DC1227" w:rsidP="00DC1227">
      <w:pPr>
        <w:numPr>
          <w:ilvl w:val="0"/>
          <w:numId w:val="28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общий объем расходов бюджета Поселения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1 713,9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</w:t>
      </w:r>
      <w:r w:rsidRPr="00DC1227">
        <w:rPr>
          <w:rFonts w:ascii="Times New Roman" w:eastAsia="Times New Roman" w:hAnsi="Times New Roman"/>
          <w:sz w:val="28"/>
          <w:szCs w:val="28"/>
        </w:rPr>
        <w:t>;</w:t>
      </w:r>
    </w:p>
    <w:p w:rsidR="00DC1227" w:rsidRPr="00DC1227" w:rsidRDefault="00DC1227" w:rsidP="00DC1227">
      <w:pPr>
        <w:numPr>
          <w:ilvl w:val="0"/>
          <w:numId w:val="28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DC1227">
        <w:rPr>
          <w:rFonts w:ascii="Times New Roman" w:eastAsia="Times New Roman" w:hAnsi="Times New Roman"/>
          <w:sz w:val="28"/>
          <w:szCs w:val="28"/>
        </w:rPr>
        <w:t>дефицит бюджета Поселения с нулевым значением.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C1227" w:rsidRPr="00DC1227" w:rsidRDefault="00DC1227" w:rsidP="00DC1227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Утвердить основные характеристики бюджета Поселения на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на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год:</w:t>
      </w:r>
    </w:p>
    <w:p w:rsidR="00DC1227" w:rsidRPr="00DC1227" w:rsidRDefault="00DC1227" w:rsidP="00DC1227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прогнозируемый общий объем доходов бюджета Поселения на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1 758,7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 и на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1 829,5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рублей;</w:t>
      </w:r>
    </w:p>
    <w:p w:rsidR="00DC1227" w:rsidRPr="00DC1227" w:rsidRDefault="00DC1227" w:rsidP="00DC1227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общий объем расходов бюджета Поселения на 20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24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год в сумме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1 758,7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тыс. рублей, в том числе условно утвержденные расходы в сумме </w:t>
      </w:r>
      <w:r w:rsidRPr="00DC1227">
        <w:rPr>
          <w:rFonts w:ascii="Times New Roman" w:eastAsia="Times New Roman" w:hAnsi="Times New Roman"/>
          <w:color w:val="000000"/>
          <w:sz w:val="28"/>
          <w:szCs w:val="28"/>
        </w:rPr>
        <w:t xml:space="preserve">40,7 </w:t>
      </w:r>
      <w:r w:rsidRPr="00DC1227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>тыс. рублей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, и на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1 829,5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тыс. рублей, в том числе условно утвержденные расходы в сумме </w:t>
      </w:r>
      <w:r w:rsidRPr="00DC1227">
        <w:rPr>
          <w:rFonts w:ascii="Times New Roman" w:eastAsia="Times New Roman" w:hAnsi="Times New Roman"/>
          <w:color w:val="000000"/>
          <w:sz w:val="28"/>
          <w:szCs w:val="28"/>
        </w:rPr>
        <w:t xml:space="preserve">84,6 </w:t>
      </w:r>
      <w:r w:rsidRPr="00DC1227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>тыс. рублей</w:t>
      </w:r>
      <w:r w:rsidRPr="00DC1227">
        <w:rPr>
          <w:rFonts w:ascii="Times New Roman" w:eastAsia="Times New Roman" w:hAnsi="Times New Roman"/>
          <w:sz w:val="28"/>
          <w:szCs w:val="28"/>
        </w:rPr>
        <w:t>;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</w:p>
    <w:p w:rsidR="00DC1227" w:rsidRPr="00DC1227" w:rsidRDefault="00DC1227" w:rsidP="00DC1227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дефицит бюджета  </w:t>
      </w:r>
      <w:r w:rsidRPr="00DC1227">
        <w:rPr>
          <w:rFonts w:ascii="Times New Roman" w:eastAsia="Times New Roman" w:hAnsi="Times New Roman"/>
          <w:sz w:val="28"/>
          <w:szCs w:val="28"/>
        </w:rPr>
        <w:t>П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оселения на 202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4- 2025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год</w:t>
      </w:r>
      <w:r w:rsidRPr="00DC1227">
        <w:rPr>
          <w:rFonts w:ascii="Times New Roman" w:eastAsia="Times New Roman" w:hAnsi="Times New Roman"/>
          <w:sz w:val="28"/>
          <w:szCs w:val="28"/>
        </w:rPr>
        <w:t>ы с нулевым значением.</w:t>
      </w:r>
    </w:p>
    <w:p w:rsidR="00DC1227" w:rsidRPr="00DC1227" w:rsidRDefault="00DC1227" w:rsidP="00DC1227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Утвердить источники финансирования дефицита бюджета Поселения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и на плановый период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годов согласно приложению 1  к настоящему Решению.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val="tt-RU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>Статья 2</w:t>
      </w:r>
    </w:p>
    <w:p w:rsidR="00DC1227" w:rsidRPr="00DC1227" w:rsidRDefault="00DC1227" w:rsidP="00DC122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C1227">
        <w:rPr>
          <w:rFonts w:ascii="Times New Roman" w:eastAsia="Times New Roman" w:hAnsi="Times New Roman"/>
          <w:sz w:val="28"/>
          <w:szCs w:val="28"/>
        </w:rPr>
        <w:t>Утвердить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по состоянию на 1 января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верхний предел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муниципального внутреннего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долга Поселения </w:t>
      </w:r>
      <w:r w:rsidRPr="00DC1227">
        <w:rPr>
          <w:rFonts w:ascii="Times New Roman" w:eastAsia="Times New Roman" w:hAnsi="Times New Roman"/>
          <w:sz w:val="28"/>
          <w:szCs w:val="28"/>
        </w:rPr>
        <w:t>равным нулю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, в том числе верхний предел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муниципального внутреннего долга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Поселения по 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муниципальным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гарантиям Поселения </w:t>
      </w:r>
      <w:r w:rsidRPr="00DC1227">
        <w:rPr>
          <w:rFonts w:ascii="Times New Roman" w:eastAsia="Times New Roman" w:hAnsi="Times New Roman"/>
          <w:sz w:val="28"/>
          <w:szCs w:val="28"/>
        </w:rPr>
        <w:t>в валюте Российской Федерации с нулевым значением.</w:t>
      </w:r>
      <w:proofErr w:type="gramEnd"/>
    </w:p>
    <w:p w:rsidR="00DC1227" w:rsidRPr="00DC1227" w:rsidRDefault="00DC1227" w:rsidP="00DC122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C1227">
        <w:rPr>
          <w:rFonts w:ascii="Times New Roman" w:eastAsia="Times New Roman" w:hAnsi="Times New Roman"/>
          <w:sz w:val="28"/>
          <w:szCs w:val="28"/>
        </w:rPr>
        <w:t>Утвердить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по состоянию на 1 января 20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25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год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верхний предел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муниципального внутреннего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долга </w:t>
      </w:r>
      <w:r w:rsidRPr="00DC1227">
        <w:rPr>
          <w:rFonts w:ascii="Times New Roman" w:eastAsia="Times New Roman" w:hAnsi="Times New Roman"/>
          <w:sz w:val="28"/>
          <w:szCs w:val="28"/>
        </w:rPr>
        <w:t>Поселения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DC1227">
        <w:rPr>
          <w:rFonts w:ascii="Times New Roman" w:eastAsia="Times New Roman" w:hAnsi="Times New Roman"/>
          <w:sz w:val="28"/>
          <w:szCs w:val="28"/>
        </w:rPr>
        <w:t>равным нулю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, в том числе верхний предел 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муниципального внутреннего долга Поселения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по 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муниципальным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гарантиям </w:t>
      </w:r>
      <w:r w:rsidRPr="00DC1227">
        <w:rPr>
          <w:rFonts w:ascii="Times New Roman" w:eastAsia="Times New Roman" w:hAnsi="Times New Roman"/>
          <w:sz w:val="28"/>
          <w:szCs w:val="28"/>
        </w:rPr>
        <w:t>Поселения в валюте Российской Федерации с нулевым значением.</w:t>
      </w:r>
      <w:proofErr w:type="gramEnd"/>
    </w:p>
    <w:p w:rsidR="00DC1227" w:rsidRPr="00DC1227" w:rsidRDefault="00DC1227" w:rsidP="00DC122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C1227">
        <w:rPr>
          <w:rFonts w:ascii="Times New Roman" w:eastAsia="Times New Roman" w:hAnsi="Times New Roman"/>
          <w:sz w:val="28"/>
          <w:szCs w:val="28"/>
        </w:rPr>
        <w:t>Утвердить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по состоянию на 1 января 2026 года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верхний предел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муниципального внутреннего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долга </w:t>
      </w:r>
      <w:r w:rsidRPr="00DC1227">
        <w:rPr>
          <w:rFonts w:ascii="Times New Roman" w:eastAsia="Times New Roman" w:hAnsi="Times New Roman"/>
          <w:sz w:val="28"/>
          <w:szCs w:val="28"/>
        </w:rPr>
        <w:t>Поселения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DC1227">
        <w:rPr>
          <w:rFonts w:ascii="Times New Roman" w:eastAsia="Times New Roman" w:hAnsi="Times New Roman"/>
          <w:sz w:val="28"/>
          <w:szCs w:val="28"/>
        </w:rPr>
        <w:t>равным нулю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, в том числе верхний предел 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муниципального внутреннего долга Поселения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по 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муниципальным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гарантиям </w:t>
      </w:r>
      <w:r w:rsidRPr="00DC1227">
        <w:rPr>
          <w:rFonts w:ascii="Times New Roman" w:eastAsia="Times New Roman" w:hAnsi="Times New Roman"/>
          <w:sz w:val="28"/>
          <w:szCs w:val="28"/>
        </w:rPr>
        <w:t>Поселения в валюте Российской Федерации с нулевым значением.</w:t>
      </w:r>
      <w:proofErr w:type="gramEnd"/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>Статья 3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Учесть в бюджете Поселения прогнозируемые объемы доходов бюджета Поселения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и на плановый период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годов согласно приложению 2 к настоящему Решению.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val="tt-RU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DC1227" w:rsidRPr="00DC1227" w:rsidRDefault="00DC1227" w:rsidP="00DC1227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Утвердить ведомственную структуру расходов бюджета Поселения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и на плановый период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годов согласно приложению </w:t>
      </w:r>
      <w:r w:rsidRPr="00DC1227">
        <w:rPr>
          <w:rFonts w:ascii="Times New Roman" w:eastAsia="Times New Roman" w:hAnsi="Times New Roman"/>
          <w:sz w:val="28"/>
          <w:szCs w:val="28"/>
        </w:rPr>
        <w:t>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к настоящему Решению.</w:t>
      </w:r>
    </w:p>
    <w:p w:rsidR="00DC1227" w:rsidRPr="00DC1227" w:rsidRDefault="00DC1227" w:rsidP="00DC1227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Утвердить распределение бюджетных ассигнований бюджета Поселения по разделам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подразделам, целевым статьям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(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муниципальным программам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непрограммным направлениям деятельности)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, группам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вид</w:t>
      </w:r>
      <w:proofErr w:type="spellStart"/>
      <w:r w:rsidRPr="00DC1227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DC1227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и на плановый период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годов согласно приложению </w:t>
      </w:r>
      <w:r w:rsidRPr="00DC1227">
        <w:rPr>
          <w:rFonts w:ascii="Times New Roman" w:eastAsia="Times New Roman" w:hAnsi="Times New Roman"/>
          <w:sz w:val="28"/>
          <w:szCs w:val="28"/>
        </w:rPr>
        <w:t>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к настоящему Решению.</w:t>
      </w:r>
    </w:p>
    <w:p w:rsidR="00DC1227" w:rsidRPr="00DC1227" w:rsidRDefault="00DC1227" w:rsidP="00DC1227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227">
        <w:rPr>
          <w:rFonts w:ascii="Times New Roman" w:eastAsia="Times New Roman" w:hAnsi="Times New Roman"/>
          <w:sz w:val="28"/>
          <w:szCs w:val="28"/>
        </w:rPr>
        <w:lastRenderedPageBreak/>
        <w:t xml:space="preserve">Утвердить распределение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бюджетных ассигнований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бюджета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Поселения по целевым статьям (</w:t>
      </w:r>
      <w:r w:rsidRPr="00DC1227">
        <w:rPr>
          <w:rFonts w:ascii="Times New Roman" w:eastAsia="Times New Roman" w:hAnsi="Times New Roman"/>
          <w:sz w:val="28"/>
          <w:szCs w:val="28"/>
        </w:rPr>
        <w:t>муниципальным программам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и на плановый период 2024 и 2025 годов согласно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приложению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к настоящему Решению.</w:t>
      </w:r>
    </w:p>
    <w:p w:rsidR="00DC1227" w:rsidRPr="00DC1227" w:rsidRDefault="00DC1227" w:rsidP="00DC1227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Утвердить общий объем бюджетных ассигнований на исполнение публичных нормативных обязательств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0 тыс. рублей, на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0 тыс. рублей и на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 0 тыс. рублей.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Учесть в бюджете Поселения дотацию на выравнивание бюджетной обеспеченности: 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-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1 412,5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рублей,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- на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1 449,8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рублей,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- на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1 514,3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тыс. рублей.  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6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Учесть в бюджете Поселения субвенци</w:t>
      </w:r>
      <w:r w:rsidRPr="00DC1227">
        <w:rPr>
          <w:rFonts w:ascii="Times New Roman" w:eastAsia="Times New Roman" w:hAnsi="Times New Roman"/>
          <w:sz w:val="28"/>
          <w:szCs w:val="28"/>
        </w:rPr>
        <w:t>ю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округов: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- на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126,4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рублей,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- на 20</w:t>
      </w:r>
      <w:r w:rsidRPr="00DC1227">
        <w:rPr>
          <w:rFonts w:ascii="Times New Roman" w:eastAsia="Times New Roman" w:hAnsi="Times New Roman"/>
          <w:sz w:val="28"/>
          <w:szCs w:val="28"/>
        </w:rPr>
        <w:t>24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132,4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тыс. рублей,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- на 20</w:t>
      </w:r>
      <w:r w:rsidRPr="00DC1227">
        <w:rPr>
          <w:rFonts w:ascii="Times New Roman" w:eastAsia="Times New Roman" w:hAnsi="Times New Roman"/>
          <w:sz w:val="28"/>
          <w:szCs w:val="28"/>
        </w:rPr>
        <w:t>25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 в сумме 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137,3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тыс. рублей. 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1. Органы местного самоуправления Большееловского сельского поселения Елабужского муниципального района не вправе принимать в 2023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 Большееловского сельского поселения Елабужского муниципального района, за исключением случаев принятия таких решений в связи с наделением органов местного самоуправления Большееловского сельского поселения Елабужского муниципального района, муниципальных казенных учреждений Большееловского сельского поселения Елабужского муниципального района новыми функциями или полномочиями.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2. Рекомендовать органам местного самоуправления Большееловского сельского поселения Елабужского муниципального района не принимать в 2023 году решений, приводящих к увеличению численности муниципальных служащих и работников муниципальных учреждений.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1227" w:rsidRPr="00DC1227" w:rsidRDefault="00DC1227" w:rsidP="00DC1227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DC1227" w:rsidRPr="00DC1227" w:rsidRDefault="00DC1227" w:rsidP="00DC1227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Большееловского сельского поселения в соответствии с заключенными соглашениями.</w:t>
      </w:r>
    </w:p>
    <w:p w:rsidR="00DC1227" w:rsidRPr="00DC1227" w:rsidRDefault="00DC1227" w:rsidP="00DC1227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C1227">
        <w:rPr>
          <w:rFonts w:ascii="Times New Roman" w:eastAsia="Times New Roman" w:hAnsi="Times New Roman"/>
          <w:sz w:val="28"/>
          <w:szCs w:val="28"/>
        </w:rPr>
        <w:t xml:space="preserve">Остатки средств бюджета Поселения на 1 января 2023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Большееловского сельского поселения</w:t>
      </w:r>
      <w:r w:rsidRPr="00DC1227">
        <w:rPr>
          <w:rFonts w:ascii="Times New Roman" w:eastAsia="Times New Roman" w:hAnsi="Times New Roman"/>
          <w:sz w:val="28"/>
          <w:szCs w:val="28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</w:t>
      </w:r>
      <w:proofErr w:type="gramEnd"/>
      <w:r w:rsidRPr="00DC1227">
        <w:rPr>
          <w:rFonts w:ascii="Times New Roman" w:eastAsia="Times New Roman" w:hAnsi="Times New Roman"/>
          <w:sz w:val="28"/>
          <w:szCs w:val="28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Большееловского сельского поселения </w:t>
      </w:r>
      <w:r w:rsidRPr="00DC1227">
        <w:rPr>
          <w:rFonts w:ascii="Times New Roman" w:eastAsia="Times New Roman" w:hAnsi="Times New Roman"/>
          <w:sz w:val="28"/>
          <w:szCs w:val="28"/>
        </w:rPr>
        <w:t>соответствующего решения.</w:t>
      </w: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DC1227" w:rsidRP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227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Статья </w:t>
      </w:r>
      <w:r w:rsidRPr="00DC1227">
        <w:rPr>
          <w:rFonts w:ascii="Times New Roman" w:eastAsia="Times New Roman" w:hAnsi="Times New Roman"/>
          <w:b/>
          <w:sz w:val="28"/>
          <w:szCs w:val="28"/>
        </w:rPr>
        <w:t>10</w:t>
      </w:r>
    </w:p>
    <w:p w:rsidR="007C23CE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DC1227">
        <w:rPr>
          <w:rFonts w:ascii="Times New Roman" w:eastAsia="Times New Roman" w:hAnsi="Times New Roman"/>
          <w:sz w:val="28"/>
          <w:szCs w:val="28"/>
          <w:lang w:val="tt-RU"/>
        </w:rPr>
        <w:t>Настоящее Решение вступает в силу с 1 января 20</w:t>
      </w:r>
      <w:r w:rsidRPr="00DC1227">
        <w:rPr>
          <w:rFonts w:ascii="Times New Roman" w:eastAsia="Times New Roman" w:hAnsi="Times New Roman"/>
          <w:sz w:val="28"/>
          <w:szCs w:val="28"/>
        </w:rPr>
        <w:t>23</w:t>
      </w:r>
      <w:r w:rsidRPr="00DC1227">
        <w:rPr>
          <w:rFonts w:ascii="Times New Roman" w:eastAsia="Times New Roman" w:hAnsi="Times New Roman"/>
          <w:sz w:val="28"/>
          <w:szCs w:val="28"/>
          <w:lang w:val="tt-RU"/>
        </w:rPr>
        <w:t xml:space="preserve"> года и подлежит официальному опубликованию в средствах массовой информации.</w:t>
      </w:r>
    </w:p>
    <w:p w:rsidR="00DC1227" w:rsidRDefault="00DC1227" w:rsidP="00DC1227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7C23CE" w:rsidRPr="00CC0C8B" w:rsidRDefault="007C23CE" w:rsidP="00CC0C8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Примечание: </w:t>
      </w:r>
      <w:r w:rsidR="00D17F6C">
        <w:rPr>
          <w:rFonts w:ascii="Times New Roman" w:eastAsia="Times New Roman" w:hAnsi="Times New Roman"/>
          <w:sz w:val="28"/>
          <w:szCs w:val="28"/>
          <w:lang w:val="tt-RU"/>
        </w:rPr>
        <w:t>В</w:t>
      </w:r>
      <w:r>
        <w:rPr>
          <w:rFonts w:ascii="Times New Roman" w:eastAsia="Times New Roman" w:hAnsi="Times New Roman"/>
          <w:sz w:val="28"/>
          <w:szCs w:val="28"/>
          <w:lang w:val="tt-RU"/>
        </w:rPr>
        <w:t>се приложения к решению</w:t>
      </w:r>
      <w:r w:rsidR="00D17F6C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/>
        </w:rPr>
        <w:t>№74 от 16.12.2022г. выложены на официальном сайте</w:t>
      </w:r>
      <w:r w:rsidRPr="007C23CE">
        <w:t xml:space="preserve"> </w:t>
      </w:r>
      <w:r w:rsidRPr="007C23CE">
        <w:rPr>
          <w:rFonts w:ascii="Times New Roman" w:eastAsia="Times New Roman" w:hAnsi="Times New Roman"/>
          <w:sz w:val="28"/>
          <w:szCs w:val="28"/>
          <w:lang w:val="tt-RU"/>
        </w:rPr>
        <w:t>http://большееловское.городелабуга.рф/documents/2.html</w:t>
      </w:r>
    </w:p>
    <w:p w:rsidR="00CC0C8B" w:rsidRPr="00CC0C8B" w:rsidRDefault="00CC0C8B" w:rsidP="00CC0C8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C0C8B" w:rsidRPr="00CC0C8B" w:rsidRDefault="00CC0C8B" w:rsidP="00CC0C8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C0C8B" w:rsidRPr="00CC0C8B" w:rsidRDefault="00CC0C8B" w:rsidP="00CC0C8B">
      <w:pPr>
        <w:spacing w:line="288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CC0C8B">
        <w:rPr>
          <w:rFonts w:ascii="Times New Roman" w:eastAsia="Times New Roman" w:hAnsi="Times New Roman"/>
          <w:b/>
          <w:sz w:val="28"/>
          <w:szCs w:val="28"/>
        </w:rPr>
        <w:t>Председатель</w:t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</w:t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  <w:t>А.И. Машанов</w:t>
      </w: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  <w:bookmarkStart w:id="0" w:name="_GoBack"/>
      <w:bookmarkEnd w:id="0"/>
    </w:p>
    <w:sectPr w:rsidR="006D0F66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98" w:rsidRDefault="00010098" w:rsidP="00485885">
      <w:r>
        <w:separator/>
      </w:r>
    </w:p>
  </w:endnote>
  <w:endnote w:type="continuationSeparator" w:id="0">
    <w:p w:rsidR="00010098" w:rsidRDefault="00010098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98" w:rsidRDefault="00010098" w:rsidP="00485885">
      <w:r>
        <w:separator/>
      </w:r>
    </w:p>
  </w:footnote>
  <w:footnote w:type="continuationSeparator" w:id="0">
    <w:p w:rsidR="00010098" w:rsidRDefault="00010098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12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7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5982073"/>
    <w:multiLevelType w:val="multilevel"/>
    <w:tmpl w:val="06262696"/>
    <w:numStyleLink w:val="Style1"/>
  </w:abstractNum>
  <w:abstractNum w:abstractNumId="23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2"/>
  </w:num>
  <w:num w:numId="5">
    <w:abstractNumId w:val="3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25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24"/>
  </w:num>
  <w:num w:numId="18">
    <w:abstractNumId w:val="5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11"/>
  </w:num>
  <w:num w:numId="29">
    <w:abstractNumId w:val="18"/>
  </w:num>
  <w:num w:numId="30">
    <w:abstractNumId w:val="21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098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0014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0F66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3CE"/>
    <w:rsid w:val="007C2A55"/>
    <w:rsid w:val="007C2A94"/>
    <w:rsid w:val="007C39CC"/>
    <w:rsid w:val="007C3A37"/>
    <w:rsid w:val="007C6730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005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3B40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02A7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68FE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0C8B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17F6C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4C37"/>
    <w:rsid w:val="00DB6B7F"/>
    <w:rsid w:val="00DB6CAB"/>
    <w:rsid w:val="00DB7048"/>
    <w:rsid w:val="00DC0C5B"/>
    <w:rsid w:val="00DC1227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39FB"/>
    <w:rsid w:val="00EF4386"/>
    <w:rsid w:val="00EF54B9"/>
    <w:rsid w:val="00F056AD"/>
    <w:rsid w:val="00F07AFB"/>
    <w:rsid w:val="00F10BB2"/>
    <w:rsid w:val="00F13DCD"/>
    <w:rsid w:val="00F142D8"/>
    <w:rsid w:val="00F1542A"/>
    <w:rsid w:val="00F15C78"/>
    <w:rsid w:val="00F168ED"/>
    <w:rsid w:val="00F17AB0"/>
    <w:rsid w:val="00F2790F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1C71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F10BB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493A-1BE2-4D6B-A4BB-7D7ECF85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5</cp:revision>
  <cp:lastPrinted>2022-02-24T12:03:00Z</cp:lastPrinted>
  <dcterms:created xsi:type="dcterms:W3CDTF">2022-12-16T10:45:00Z</dcterms:created>
  <dcterms:modified xsi:type="dcterms:W3CDTF">2022-12-16T10:49:00Z</dcterms:modified>
</cp:coreProperties>
</file>